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99"/>
        <w:tblW w:w="4287" w:type="pct"/>
        <w:tblLook w:val="04A0" w:firstRow="1" w:lastRow="0" w:firstColumn="1" w:lastColumn="0" w:noHBand="0" w:noVBand="1"/>
      </w:tblPr>
      <w:tblGrid>
        <w:gridCol w:w="1617"/>
        <w:gridCol w:w="2339"/>
        <w:gridCol w:w="2519"/>
        <w:gridCol w:w="2159"/>
      </w:tblGrid>
      <w:tr w:rsidR="00044ABD" w:rsidRPr="00FB10EA" w:rsidTr="00D5271B">
        <w:trPr>
          <w:trHeight w:val="232"/>
        </w:trPr>
        <w:tc>
          <w:tcPr>
            <w:tcW w:w="936" w:type="pct"/>
            <w:shd w:val="clear" w:color="auto" w:fill="auto"/>
          </w:tcPr>
          <w:p w:rsidR="00044ABD" w:rsidRPr="000F1DA7" w:rsidRDefault="00044ABD" w:rsidP="00832B21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97735738"/>
            <w:r>
              <w:rPr>
                <w:rFonts w:cstheme="minorHAnsi"/>
                <w:b/>
                <w:bCs/>
                <w:sz w:val="20"/>
                <w:szCs w:val="20"/>
              </w:rPr>
              <w:t>Intended Users:</w:t>
            </w:r>
          </w:p>
        </w:tc>
        <w:tc>
          <w:tcPr>
            <w:tcW w:w="1354" w:type="pct"/>
            <w:shd w:val="clear" w:color="auto" w:fill="A3DEFF"/>
          </w:tcPr>
          <w:p w:rsidR="00044ABD" w:rsidRPr="000F1DA7" w:rsidRDefault="00044ABD" w:rsidP="00832B21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7735748"/>
            <w:r w:rsidRPr="000F1DA7">
              <w:rPr>
                <w:rFonts w:cstheme="minorHAnsi"/>
                <w:b/>
                <w:bCs/>
                <w:sz w:val="20"/>
                <w:szCs w:val="20"/>
              </w:rPr>
              <w:t>Healthcare Providers</w:t>
            </w:r>
          </w:p>
        </w:tc>
        <w:tc>
          <w:tcPr>
            <w:tcW w:w="1459" w:type="pct"/>
            <w:shd w:val="clear" w:color="auto" w:fill="D9D9D9"/>
          </w:tcPr>
          <w:p w:rsidR="00044ABD" w:rsidRPr="000F1DA7" w:rsidRDefault="00044ABD" w:rsidP="00832B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1DA7">
              <w:rPr>
                <w:rFonts w:cstheme="minorHAnsi"/>
                <w:b/>
                <w:bCs/>
                <w:sz w:val="20"/>
                <w:szCs w:val="20"/>
              </w:rPr>
              <w:t xml:space="preserve">Information Professionals </w:t>
            </w:r>
          </w:p>
        </w:tc>
        <w:tc>
          <w:tcPr>
            <w:tcW w:w="1250" w:type="pct"/>
            <w:shd w:val="clear" w:color="auto" w:fill="D6E6F6"/>
          </w:tcPr>
          <w:p w:rsidR="00044ABD" w:rsidRPr="000F1DA7" w:rsidRDefault="00044ABD" w:rsidP="00832B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1DA7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0F1DA7">
              <w:rPr>
                <w:rFonts w:cstheme="minorHAnsi"/>
                <w:b/>
                <w:bCs/>
                <w:sz w:val="20"/>
                <w:szCs w:val="20"/>
                <w:shd w:val="clear" w:color="auto" w:fill="D6E6F6"/>
              </w:rPr>
              <w:t xml:space="preserve">esearchers </w:t>
            </w:r>
          </w:p>
        </w:tc>
      </w:tr>
    </w:tbl>
    <w:bookmarkEnd w:id="1"/>
    <w:p w:rsidR="00044ABD" w:rsidRDefault="00D5271B" w:rsidP="00626E3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265B64">
            <wp:simplePos x="0" y="0"/>
            <wp:positionH relativeFrom="column">
              <wp:posOffset>9525</wp:posOffset>
            </wp:positionH>
            <wp:positionV relativeFrom="paragraph">
              <wp:posOffset>171450</wp:posOffset>
            </wp:positionV>
            <wp:extent cx="895350" cy="895350"/>
            <wp:effectExtent l="0" t="0" r="0" b="0"/>
            <wp:wrapTight wrapText="bothSides">
              <wp:wrapPolygon edited="0">
                <wp:start x="11949" y="0"/>
                <wp:lineTo x="5974" y="460"/>
                <wp:lineTo x="1379" y="3677"/>
                <wp:lineTo x="1379" y="12409"/>
                <wp:lineTo x="2757" y="15166"/>
                <wp:lineTo x="5515" y="15166"/>
                <wp:lineTo x="1379" y="18383"/>
                <wp:lineTo x="460" y="19302"/>
                <wp:lineTo x="460" y="21140"/>
                <wp:lineTo x="8732" y="21140"/>
                <wp:lineTo x="13787" y="20221"/>
                <wp:lineTo x="20221" y="17464"/>
                <wp:lineTo x="19302" y="460"/>
                <wp:lineTo x="17923" y="0"/>
                <wp:lineTo x="11949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9D1" w:rsidRPr="00AB6F09" w:rsidRDefault="00106B93" w:rsidP="00AB6F09">
      <w:pPr>
        <w:pStyle w:val="Heading1"/>
        <w:rPr>
          <w:rStyle w:val="Heading1Char"/>
          <w:b/>
        </w:rPr>
      </w:pPr>
      <w:hyperlink r:id="rId8" w:history="1">
        <w:r w:rsidR="00372B5D" w:rsidRPr="00AB6F09">
          <w:rPr>
            <w:rStyle w:val="Hyperlink"/>
            <w:color w:val="4472C4" w:themeColor="accent1"/>
          </w:rPr>
          <w:t>NNLM Data Repository Finder</w:t>
        </w:r>
      </w:hyperlink>
      <w:r w:rsidR="009D09D1" w:rsidRPr="00AB6F09">
        <w:t xml:space="preserve"> </w:t>
      </w:r>
    </w:p>
    <w:p w:rsidR="003F4EFC" w:rsidRPr="006B2B5B" w:rsidRDefault="009D09D1" w:rsidP="006B2B5B">
      <w:pPr>
        <w:pStyle w:val="Heading2"/>
        <w:rPr>
          <w:b w:val="0"/>
        </w:rPr>
      </w:pPr>
      <w:r w:rsidRPr="00AB6F09">
        <w:t>Description:</w:t>
      </w:r>
      <w:r w:rsidRPr="00AB6F09">
        <w:rPr>
          <w:b w:val="0"/>
        </w:rPr>
        <w:t xml:space="preserve"> </w:t>
      </w:r>
      <w:r w:rsidR="003F4EFC" w:rsidRPr="00AB6F09">
        <w:rPr>
          <w:b w:val="0"/>
        </w:rPr>
        <w:t xml:space="preserve">The </w:t>
      </w:r>
      <w:r w:rsidR="006A40DF" w:rsidRPr="00AB6F09">
        <w:rPr>
          <w:b w:val="0"/>
        </w:rPr>
        <w:t xml:space="preserve">NNLM Data Repository Finder helps people find and compare NIH supported repositories </w:t>
      </w:r>
      <w:r w:rsidR="00D7305B" w:rsidRPr="00AB6F09">
        <w:rPr>
          <w:b w:val="0"/>
        </w:rPr>
        <w:t xml:space="preserve">to facilitate sharing </w:t>
      </w:r>
      <w:r w:rsidR="006A40DF" w:rsidRPr="00AB6F09">
        <w:rPr>
          <w:b w:val="0"/>
        </w:rPr>
        <w:t xml:space="preserve">research data.  </w:t>
      </w:r>
      <w:r w:rsidR="00924E25" w:rsidRPr="00AB6F09">
        <w:rPr>
          <w:b w:val="0"/>
        </w:rPr>
        <w:t xml:space="preserve">The listed repositories cover a wide range of health science and biology topics such as genomics, medical imaging, aging, neuroscience, chemistry, and many overlapping </w:t>
      </w:r>
      <w:r w:rsidR="00BF7481" w:rsidRPr="00AB6F09">
        <w:rPr>
          <w:b w:val="0"/>
        </w:rPr>
        <w:t>subspecialties</w:t>
      </w:r>
      <w:r w:rsidR="00924E25" w:rsidRPr="00AB6F09">
        <w:rPr>
          <w:b w:val="0"/>
        </w:rPr>
        <w:t xml:space="preserve">. </w:t>
      </w:r>
      <w:r w:rsidR="00A27492">
        <w:rPr>
          <w:b w:val="0"/>
        </w:rPr>
        <w:t>The tool includes o</w:t>
      </w:r>
      <w:r w:rsidR="00924E25" w:rsidRPr="00AB6F09">
        <w:rPr>
          <w:b w:val="0"/>
        </w:rPr>
        <w:t xml:space="preserve">ver 60 repositories include generalist repositories like </w:t>
      </w:r>
      <w:proofErr w:type="spellStart"/>
      <w:r w:rsidR="00924E25" w:rsidRPr="00AB6F09">
        <w:rPr>
          <w:b w:val="0"/>
        </w:rPr>
        <w:t>Zenodo</w:t>
      </w:r>
      <w:proofErr w:type="spellEnd"/>
      <w:r w:rsidR="00924E25" w:rsidRPr="00AB6F09">
        <w:rPr>
          <w:b w:val="0"/>
        </w:rPr>
        <w:t xml:space="preserve"> and Open Science Frame work </w:t>
      </w:r>
      <w:r w:rsidR="0071358D" w:rsidRPr="00AB6F09">
        <w:rPr>
          <w:b w:val="0"/>
        </w:rPr>
        <w:t>and</w:t>
      </w:r>
      <w:r w:rsidR="00924E25" w:rsidRPr="00AB6F09">
        <w:rPr>
          <w:b w:val="0"/>
        </w:rPr>
        <w:t xml:space="preserve"> </w:t>
      </w:r>
      <w:r w:rsidR="00D7305B" w:rsidRPr="00AB6F09">
        <w:rPr>
          <w:b w:val="0"/>
        </w:rPr>
        <w:t>domain</w:t>
      </w:r>
      <w:r w:rsidR="00924E25" w:rsidRPr="00AB6F09">
        <w:rPr>
          <w:b w:val="0"/>
        </w:rPr>
        <w:t xml:space="preserve"> specific repositories like </w:t>
      </w:r>
      <w:proofErr w:type="spellStart"/>
      <w:r w:rsidR="00924E25" w:rsidRPr="00AB6F09">
        <w:rPr>
          <w:b w:val="0"/>
        </w:rPr>
        <w:t>Wormbase</w:t>
      </w:r>
      <w:proofErr w:type="spellEnd"/>
      <w:r w:rsidR="00924E25" w:rsidRPr="00AB6F09">
        <w:rPr>
          <w:b w:val="0"/>
        </w:rPr>
        <w:t>, Delirium Research Hub</w:t>
      </w:r>
      <w:r w:rsidR="00BF7481" w:rsidRPr="00AB6F09">
        <w:rPr>
          <w:b w:val="0"/>
        </w:rPr>
        <w:t>, and Metabolomics Workbench. People can follow the prompted question</w:t>
      </w:r>
      <w:r w:rsidR="00D7305B" w:rsidRPr="00AB6F09">
        <w:rPr>
          <w:b w:val="0"/>
        </w:rPr>
        <w:t>s</w:t>
      </w:r>
      <w:r w:rsidR="00BF7481" w:rsidRPr="00AB6F09">
        <w:rPr>
          <w:b w:val="0"/>
        </w:rPr>
        <w:t xml:space="preserve"> to narrow down potential repositories or </w:t>
      </w:r>
      <w:r w:rsidR="00D7305B" w:rsidRPr="00AB6F09">
        <w:rPr>
          <w:b w:val="0"/>
        </w:rPr>
        <w:t>openly browse</w:t>
      </w:r>
      <w:r w:rsidR="0071358D" w:rsidRPr="00AB6F09">
        <w:rPr>
          <w:b w:val="0"/>
        </w:rPr>
        <w:t xml:space="preserve"> through</w:t>
      </w:r>
      <w:r w:rsidR="00BF7481" w:rsidRPr="00AB6F09">
        <w:rPr>
          <w:b w:val="0"/>
        </w:rPr>
        <w:t xml:space="preserve"> the list. </w:t>
      </w:r>
      <w:r w:rsidR="00D7305B" w:rsidRPr="00AB6F09">
        <w:rPr>
          <w:b w:val="0"/>
        </w:rPr>
        <w:t xml:space="preserve">Select at least one repository to compare </w:t>
      </w:r>
      <w:r w:rsidR="00BF7481" w:rsidRPr="00AB6F09">
        <w:rPr>
          <w:b w:val="0"/>
        </w:rPr>
        <w:t>access</w:t>
      </w:r>
      <w:r w:rsidR="00D7305B" w:rsidRPr="00AB6F09">
        <w:rPr>
          <w:b w:val="0"/>
        </w:rPr>
        <w:t xml:space="preserve"> attributes</w:t>
      </w:r>
      <w:r w:rsidR="00BF7481" w:rsidRPr="00AB6F09">
        <w:rPr>
          <w:b w:val="0"/>
        </w:rPr>
        <w:t xml:space="preserve"> (if repository allows for embargo, controls access, or requires registration) submission </w:t>
      </w:r>
      <w:r w:rsidR="00D7305B" w:rsidRPr="00AB6F09">
        <w:rPr>
          <w:b w:val="0"/>
        </w:rPr>
        <w:t xml:space="preserve">attributes </w:t>
      </w:r>
      <w:r w:rsidR="00BF7481" w:rsidRPr="00AB6F09">
        <w:rPr>
          <w:b w:val="0"/>
        </w:rPr>
        <w:t>(fees, restricted by funder, an</w:t>
      </w:r>
      <w:r w:rsidR="00626E3F" w:rsidRPr="00AB6F09">
        <w:rPr>
          <w:b w:val="0"/>
        </w:rPr>
        <w:t>d</w:t>
      </w:r>
      <w:r w:rsidR="00BF7481" w:rsidRPr="00AB6F09">
        <w:rPr>
          <w:b w:val="0"/>
        </w:rPr>
        <w:t xml:space="preserve"> specific data standards) </w:t>
      </w:r>
      <w:r w:rsidR="00D7305B" w:rsidRPr="00AB6F09">
        <w:rPr>
          <w:b w:val="0"/>
        </w:rPr>
        <w:t xml:space="preserve">repository </w:t>
      </w:r>
      <w:r w:rsidR="00BF7481" w:rsidRPr="00AB6F09">
        <w:rPr>
          <w:b w:val="0"/>
        </w:rPr>
        <w:t>description, funders, keywords, and links to more information</w:t>
      </w:r>
      <w:r w:rsidR="00BF7481">
        <w:rPr>
          <w:b w:val="0"/>
        </w:rPr>
        <w:t xml:space="preserve">. </w:t>
      </w:r>
    </w:p>
    <w:p w:rsidR="00372B5D" w:rsidRDefault="00372B5D" w:rsidP="00626E3F">
      <w:pPr>
        <w:pStyle w:val="NoSpacing"/>
      </w:pPr>
    </w:p>
    <w:p w:rsidR="009D09D1" w:rsidRDefault="009D09D1" w:rsidP="009D09D1">
      <w:pPr>
        <w:pStyle w:val="Heading2"/>
      </w:pPr>
      <w:r>
        <w:t>Popular uses of this product: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3690"/>
        <w:gridCol w:w="3504"/>
      </w:tblGrid>
      <w:tr w:rsidR="00372B5D" w:rsidRPr="00034B19" w:rsidTr="00282B55">
        <w:trPr>
          <w:trHeight w:val="260"/>
        </w:trPr>
        <w:tc>
          <w:tcPr>
            <w:tcW w:w="1428" w:type="pct"/>
            <w:shd w:val="clear" w:color="auto" w:fill="A3DEFF"/>
          </w:tcPr>
          <w:p w:rsidR="00372B5D" w:rsidRPr="002325B4" w:rsidRDefault="00372B5D" w:rsidP="002A4160">
            <w:pPr>
              <w:rPr>
                <w:rFonts w:cstheme="minorHAnsi"/>
                <w:b/>
                <w:bCs/>
              </w:rPr>
            </w:pPr>
            <w:r w:rsidRPr="002325B4">
              <w:rPr>
                <w:rFonts w:cstheme="minorHAnsi"/>
                <w:b/>
                <w:bCs/>
              </w:rPr>
              <w:t>Healthcare Providers</w:t>
            </w:r>
          </w:p>
        </w:tc>
        <w:tc>
          <w:tcPr>
            <w:tcW w:w="1832" w:type="pct"/>
            <w:shd w:val="clear" w:color="auto" w:fill="D9D9D9"/>
          </w:tcPr>
          <w:p w:rsidR="00372B5D" w:rsidRPr="002325B4" w:rsidRDefault="00372B5D" w:rsidP="002A4160">
            <w:pPr>
              <w:rPr>
                <w:rFonts w:cstheme="minorHAnsi"/>
                <w:b/>
                <w:bCs/>
              </w:rPr>
            </w:pPr>
            <w:r w:rsidRPr="002325B4">
              <w:rPr>
                <w:rFonts w:cstheme="minorHAnsi"/>
                <w:b/>
                <w:bCs/>
              </w:rPr>
              <w:t xml:space="preserve">Information Professionals </w:t>
            </w:r>
          </w:p>
        </w:tc>
        <w:tc>
          <w:tcPr>
            <w:tcW w:w="1740" w:type="pct"/>
            <w:shd w:val="clear" w:color="auto" w:fill="D6E6F6"/>
          </w:tcPr>
          <w:p w:rsidR="00372B5D" w:rsidRPr="002325B4" w:rsidRDefault="00372B5D" w:rsidP="002A4160">
            <w:pPr>
              <w:rPr>
                <w:rFonts w:cstheme="minorHAnsi"/>
                <w:b/>
                <w:bCs/>
              </w:rPr>
            </w:pPr>
            <w:r w:rsidRPr="002325B4">
              <w:rPr>
                <w:rFonts w:cstheme="minorHAnsi"/>
                <w:b/>
                <w:bCs/>
              </w:rPr>
              <w:t xml:space="preserve">Researchers </w:t>
            </w:r>
          </w:p>
        </w:tc>
      </w:tr>
      <w:tr w:rsidR="00372B5D" w:rsidRPr="00034B19" w:rsidTr="00B41CA0">
        <w:trPr>
          <w:trHeight w:val="1592"/>
        </w:trPr>
        <w:tc>
          <w:tcPr>
            <w:tcW w:w="1428" w:type="pct"/>
          </w:tcPr>
          <w:p w:rsidR="00372B5D" w:rsidRDefault="00372B5D" w:rsidP="002A416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41CA0">
              <w:rPr>
                <w:rFonts w:cstheme="minorHAnsi"/>
              </w:rPr>
              <w:t xml:space="preserve">Find repositories that specialize in clinical trial, cancer, or genomic data. </w:t>
            </w:r>
          </w:p>
          <w:p w:rsidR="00B41CA0" w:rsidRPr="001520FB" w:rsidRDefault="00B41CA0" w:rsidP="002A416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cstheme="minorHAnsi"/>
              </w:rPr>
            </w:pPr>
            <w:r>
              <w:rPr>
                <w:rFonts w:cstheme="minorHAnsi"/>
              </w:rPr>
              <w:t xml:space="preserve">Find subject specific repositories that focus on </w:t>
            </w:r>
            <w:r w:rsidR="00282B55">
              <w:rPr>
                <w:rFonts w:cstheme="minorHAnsi"/>
              </w:rPr>
              <w:t xml:space="preserve">human </w:t>
            </w:r>
            <w:r>
              <w:rPr>
                <w:rFonts w:cstheme="minorHAnsi"/>
              </w:rPr>
              <w:t>health topics such as aging, addiction</w:t>
            </w:r>
            <w:r w:rsidR="00282B55">
              <w:rPr>
                <w:rFonts w:cstheme="minorHAnsi"/>
              </w:rPr>
              <w:t xml:space="preserve">, neuroscience, or mental health. </w:t>
            </w:r>
          </w:p>
        </w:tc>
        <w:tc>
          <w:tcPr>
            <w:tcW w:w="1832" w:type="pct"/>
          </w:tcPr>
          <w:p w:rsidR="00372B5D" w:rsidRDefault="006A40DF" w:rsidP="002A4160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 researchers about variety </w:t>
            </w:r>
            <w:r w:rsidR="001B3570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>NIH supported data repositories.</w:t>
            </w:r>
          </w:p>
          <w:p w:rsidR="006A40DF" w:rsidRDefault="006A40DF" w:rsidP="002A4160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 xml:space="preserve">Advise researchers on benefits of open science data and data sharing. </w:t>
            </w:r>
          </w:p>
          <w:p w:rsidR="001B3570" w:rsidRPr="001B3570" w:rsidRDefault="001B3570" w:rsidP="001B3570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</w:rPr>
            </w:pPr>
            <w:r>
              <w:rPr>
                <w:rFonts w:cstheme="minorHAnsi"/>
              </w:rPr>
              <w:t xml:space="preserve">Quickly find repositories that meet specific criteria, such as access limitations, no size or content limitations, or specialized topic data. </w:t>
            </w:r>
          </w:p>
          <w:p w:rsidR="006A40DF" w:rsidRPr="00034B19" w:rsidRDefault="006A40DF" w:rsidP="002A4160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cstheme="minorHAnsi"/>
              </w:rPr>
            </w:pPr>
            <w:r>
              <w:rPr>
                <w:rFonts w:cstheme="minorHAnsi"/>
              </w:rPr>
              <w:t>Advise researchers on best practice</w:t>
            </w:r>
            <w:r w:rsidR="00B41CA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for data </w:t>
            </w:r>
            <w:r w:rsidR="001B3570">
              <w:rPr>
                <w:rFonts w:cstheme="minorHAnsi"/>
              </w:rPr>
              <w:t xml:space="preserve">management, archiving and </w:t>
            </w:r>
            <w:r>
              <w:rPr>
                <w:rFonts w:cstheme="minorHAnsi"/>
              </w:rPr>
              <w:t>sharing</w:t>
            </w:r>
            <w:r w:rsidR="00B41CA0">
              <w:rPr>
                <w:rFonts w:cstheme="minorHAnsi"/>
              </w:rPr>
              <w:t>.</w:t>
            </w:r>
          </w:p>
        </w:tc>
        <w:tc>
          <w:tcPr>
            <w:tcW w:w="1740" w:type="pct"/>
          </w:tcPr>
          <w:p w:rsidR="00372B5D" w:rsidRDefault="00B41CA0" w:rsidP="002A4160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and compare NIH supported data repositories. </w:t>
            </w:r>
          </w:p>
          <w:p w:rsidR="00B41CA0" w:rsidRDefault="00B41CA0" w:rsidP="002A4160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</w:rPr>
            </w:pPr>
            <w:r>
              <w:rPr>
                <w:rFonts w:cstheme="minorHAnsi"/>
              </w:rPr>
              <w:t xml:space="preserve">Quickly find repositories that meet specific criteria, such as access limitations, no size or content limitations, or specialized topic data. </w:t>
            </w:r>
          </w:p>
          <w:p w:rsidR="00B41CA0" w:rsidRDefault="00B41CA0" w:rsidP="002A4160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</w:rPr>
            </w:pPr>
            <w:r>
              <w:rPr>
                <w:rFonts w:cstheme="minorHAnsi"/>
              </w:rPr>
              <w:t>Compare submission policies and scope of multiple repositories.</w:t>
            </w:r>
          </w:p>
          <w:p w:rsidR="00B41CA0" w:rsidRPr="00034B19" w:rsidRDefault="00B41CA0" w:rsidP="002A4160">
            <w:pPr>
              <w:pStyle w:val="ListParagraph"/>
              <w:numPr>
                <w:ilvl w:val="0"/>
                <w:numId w:val="1"/>
              </w:numPr>
              <w:ind w:left="211" w:hanging="211"/>
              <w:rPr>
                <w:rFonts w:cstheme="minorHAnsi"/>
              </w:rPr>
            </w:pPr>
            <w:r>
              <w:rPr>
                <w:rFonts w:cstheme="minorHAnsi"/>
              </w:rPr>
              <w:t xml:space="preserve">Find data repositories to comply with new NIH DMS policy. </w:t>
            </w:r>
          </w:p>
        </w:tc>
      </w:tr>
    </w:tbl>
    <w:p w:rsidR="009D09D1" w:rsidRDefault="009D09D1" w:rsidP="009D09D1">
      <w:pPr>
        <w:rPr>
          <w:rFonts w:cstheme="minorHAnsi"/>
          <w:b/>
          <w:bCs/>
        </w:rPr>
      </w:pPr>
    </w:p>
    <w:p w:rsidR="009D09D1" w:rsidRDefault="009D09D1" w:rsidP="009D09D1">
      <w:pPr>
        <w:pStyle w:val="Heading2"/>
      </w:pPr>
      <w:r w:rsidRPr="00034B19">
        <w:t xml:space="preserve">Key Points: </w:t>
      </w:r>
    </w:p>
    <w:p w:rsidR="00A41609" w:rsidRPr="00A41609" w:rsidRDefault="00A41609" w:rsidP="00A41609">
      <w:pPr>
        <w:pStyle w:val="ListParagraph"/>
        <w:numPr>
          <w:ilvl w:val="0"/>
          <w:numId w:val="13"/>
        </w:numPr>
      </w:pPr>
      <w:r>
        <w:t xml:space="preserve">The Data Repository Finder helps researchers find and compare NIH supported data repositories. </w:t>
      </w:r>
    </w:p>
    <w:p w:rsidR="009D09D1" w:rsidRDefault="009D09D1" w:rsidP="009D09D1">
      <w:pPr>
        <w:pStyle w:val="Heading2"/>
      </w:pPr>
      <w:r>
        <w:t>Considerations</w:t>
      </w:r>
      <w:r w:rsidRPr="0075318F">
        <w:t xml:space="preserve">: </w:t>
      </w:r>
    </w:p>
    <w:p w:rsidR="00D51F6F" w:rsidRDefault="0026496A" w:rsidP="00D51F6F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There are many other NIH supported repositories. This tool has additional inclusion criteria including, accept</w:t>
      </w:r>
      <w:r w:rsidR="0071358D">
        <w:rPr>
          <w:rFonts w:cstheme="minorHAnsi"/>
          <w:bCs/>
        </w:rPr>
        <w:t>s</w:t>
      </w:r>
      <w:r>
        <w:rPr>
          <w:rFonts w:cstheme="minorHAnsi"/>
          <w:bCs/>
        </w:rPr>
        <w:t xml:space="preserve"> submissions from br</w:t>
      </w:r>
      <w:r w:rsidR="00A41609">
        <w:rPr>
          <w:rFonts w:cstheme="minorHAnsi"/>
          <w:bCs/>
        </w:rPr>
        <w:t>oad set of investigators, data</w:t>
      </w:r>
      <w:r w:rsidR="0071358D">
        <w:rPr>
          <w:rFonts w:cstheme="minorHAnsi"/>
          <w:bCs/>
        </w:rPr>
        <w:t xml:space="preserve"> is </w:t>
      </w:r>
      <w:r w:rsidR="00A41609">
        <w:rPr>
          <w:rFonts w:cstheme="minorHAnsi"/>
          <w:bCs/>
        </w:rPr>
        <w:t xml:space="preserve">available for reuse free of cost, and data can be submitted any time after </w:t>
      </w:r>
      <w:r w:rsidR="0071358D">
        <w:rPr>
          <w:rFonts w:cstheme="minorHAnsi"/>
          <w:bCs/>
        </w:rPr>
        <w:t>establishment</w:t>
      </w:r>
      <w:r w:rsidR="00A41609">
        <w:rPr>
          <w:rFonts w:cstheme="minorHAnsi"/>
          <w:bCs/>
        </w:rPr>
        <w:t xml:space="preserve">. </w:t>
      </w:r>
    </w:p>
    <w:p w:rsidR="00277C54" w:rsidRPr="00277C54" w:rsidRDefault="0026496A" w:rsidP="00277C54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 xml:space="preserve">NIH recommends that researchers use a domain specific repository to share their data, but does not endorse or require sharing in any specific repositories. Researchers should select a repository that best fits their data type, project needs, and subject area. </w:t>
      </w:r>
    </w:p>
    <w:p w:rsidR="009D09D1" w:rsidRDefault="009D09D1" w:rsidP="009D09D1">
      <w:pPr>
        <w:pStyle w:val="Heading2"/>
      </w:pPr>
      <w:r w:rsidRPr="00200C56">
        <w:t>Teaching Examples:</w:t>
      </w:r>
    </w:p>
    <w:p w:rsidR="00FA425B" w:rsidRDefault="00FA425B" w:rsidP="00FA425B">
      <w:pPr>
        <w:pStyle w:val="ListParagraph"/>
        <w:numPr>
          <w:ilvl w:val="0"/>
          <w:numId w:val="10"/>
        </w:numPr>
      </w:pPr>
      <w:r>
        <w:t>Have participants pretend to be part of a research group that is doing a clinical trial on a new sleep apnea treatment</w:t>
      </w:r>
      <w:r w:rsidR="0071358D">
        <w:t xml:space="preserve">. </w:t>
      </w:r>
      <w:r>
        <w:t>The data is not embargoed, but there needs to be additional access controls</w:t>
      </w:r>
      <w:r w:rsidR="00282B55">
        <w:t xml:space="preserve"> to protect sensitive information</w:t>
      </w:r>
      <w:r>
        <w:t xml:space="preserve">. Have participants select and compare three repositories and discuss which repository they would </w:t>
      </w:r>
      <w:r w:rsidR="0071358D">
        <w:t xml:space="preserve">use </w:t>
      </w:r>
      <w:r>
        <w:t xml:space="preserve">and why. </w:t>
      </w:r>
    </w:p>
    <w:p w:rsidR="006D74D7" w:rsidRDefault="006D74D7" w:rsidP="00FA425B">
      <w:pPr>
        <w:pStyle w:val="ListParagraph"/>
        <w:numPr>
          <w:ilvl w:val="0"/>
          <w:numId w:val="10"/>
        </w:numPr>
      </w:pPr>
      <w:r>
        <w:t xml:space="preserve">The repositories </w:t>
      </w:r>
      <w:proofErr w:type="spellStart"/>
      <w:r>
        <w:t>NeuroImaging</w:t>
      </w:r>
      <w:proofErr w:type="spellEnd"/>
      <w:r>
        <w:t xml:space="preserve"> Tools, </w:t>
      </w:r>
      <w:proofErr w:type="spellStart"/>
      <w:r>
        <w:t>NeuroMorpho</w:t>
      </w:r>
      <w:proofErr w:type="spellEnd"/>
      <w:r>
        <w:t xml:space="preserve"> and Open Neuro are all neuroscience repositories. On the Data Repository Finder, select these three repositories and compare them. Discus the differences and why researcher might </w:t>
      </w:r>
      <w:r w:rsidR="0071358D">
        <w:t>use</w:t>
      </w:r>
      <w:r>
        <w:t xml:space="preserve"> one over the other. </w:t>
      </w:r>
    </w:p>
    <w:p w:rsidR="009D09D1" w:rsidRDefault="009D09D1" w:rsidP="009D09D1">
      <w:pPr>
        <w:pStyle w:val="Heading2"/>
      </w:pPr>
      <w:r w:rsidRPr="007F5DF1">
        <w:lastRenderedPageBreak/>
        <w:t>Real Life Examples:</w:t>
      </w:r>
    </w:p>
    <w:p w:rsidR="00343902" w:rsidRDefault="00343902" w:rsidP="00343902">
      <w:pPr>
        <w:pStyle w:val="ListParagraph"/>
        <w:numPr>
          <w:ilvl w:val="0"/>
          <w:numId w:val="12"/>
        </w:numPr>
      </w:pPr>
      <w:r>
        <w:t>A librarian is helping a researcher</w:t>
      </w:r>
      <w:r w:rsidR="0028762F">
        <w:t xml:space="preserve"> </w:t>
      </w:r>
      <w:r>
        <w:t xml:space="preserve">with some data management questions. The researcher is </w:t>
      </w:r>
      <w:r w:rsidR="006D74D7">
        <w:t>completing the NIH DMS</w:t>
      </w:r>
      <w:r w:rsidR="00B41CA0">
        <w:t xml:space="preserve"> plan </w:t>
      </w:r>
      <w:r w:rsidR="006D74D7">
        <w:t xml:space="preserve">and is looking at </w:t>
      </w:r>
      <w:r>
        <w:t>different repositories to</w:t>
      </w:r>
      <w:r w:rsidR="006D74D7">
        <w:t xml:space="preserve"> archive and share</w:t>
      </w:r>
      <w:r>
        <w:t xml:space="preserve"> their data</w:t>
      </w:r>
      <w:r w:rsidR="0071358D">
        <w:t>. T</w:t>
      </w:r>
      <w:r w:rsidR="00B41CA0">
        <w:t xml:space="preserve">hey aren’t </w:t>
      </w:r>
      <w:r>
        <w:t xml:space="preserve">sure which one to use. The librarian suggests </w:t>
      </w:r>
      <w:r w:rsidR="006D74D7">
        <w:t xml:space="preserve">using </w:t>
      </w:r>
      <w:r>
        <w:t xml:space="preserve">the NNLM Repository Finder as a way to narrow down and compare options. </w:t>
      </w:r>
    </w:p>
    <w:p w:rsidR="00343902" w:rsidRPr="00343902" w:rsidRDefault="00343902" w:rsidP="0028762F">
      <w:pPr>
        <w:pStyle w:val="ListParagraph"/>
        <w:numPr>
          <w:ilvl w:val="0"/>
          <w:numId w:val="12"/>
        </w:numPr>
      </w:pPr>
      <w:r>
        <w:t>A researcher recently completed a study where they recorded interviews with aging dementia patients and their caregivers about their experiences.</w:t>
      </w:r>
      <w:r w:rsidR="0028762F">
        <w:t xml:space="preserve"> </w:t>
      </w:r>
      <w:r>
        <w:t xml:space="preserve">The data </w:t>
      </w:r>
      <w:r w:rsidR="00282B55">
        <w:t>includes audiovisual material.</w:t>
      </w:r>
      <w:r>
        <w:t xml:space="preserve"> The researcher uses</w:t>
      </w:r>
      <w:r w:rsidR="00282B55">
        <w:t xml:space="preserve"> the</w:t>
      </w:r>
      <w:r>
        <w:t xml:space="preserve"> </w:t>
      </w:r>
      <w:r w:rsidR="006D74D7">
        <w:t xml:space="preserve">Data </w:t>
      </w:r>
      <w:r>
        <w:t xml:space="preserve">Repository </w:t>
      </w:r>
      <w:r w:rsidR="006D74D7">
        <w:t>F</w:t>
      </w:r>
      <w:r>
        <w:t xml:space="preserve">inder to find and compare </w:t>
      </w:r>
      <w:r w:rsidR="0028762F">
        <w:t xml:space="preserve">suitable </w:t>
      </w:r>
      <w:r>
        <w:t>repositorie</w:t>
      </w:r>
      <w:r w:rsidR="0028762F">
        <w:t xml:space="preserve">s </w:t>
      </w:r>
      <w:r w:rsidR="0071358D">
        <w:t xml:space="preserve">with no </w:t>
      </w:r>
      <w:r w:rsidR="0028762F">
        <w:t xml:space="preserve">data submission fees. </w:t>
      </w:r>
    </w:p>
    <w:p w:rsidR="00F52B5E" w:rsidRDefault="009D09D1" w:rsidP="009D09D1">
      <w:pPr>
        <w:pStyle w:val="Heading2"/>
      </w:pPr>
      <w:r w:rsidRPr="009D09D1">
        <w:t>More In</w:t>
      </w:r>
      <w:bookmarkStart w:id="2" w:name="_GoBack"/>
      <w:bookmarkEnd w:id="2"/>
      <w:r w:rsidRPr="009D09D1">
        <w:t>formation:</w:t>
      </w:r>
    </w:p>
    <w:p w:rsidR="00A41609" w:rsidRDefault="00106B93" w:rsidP="006A40DF">
      <w:hyperlink r:id="rId9" w:history="1">
        <w:r w:rsidR="006A40DF" w:rsidRPr="006A40DF">
          <w:rPr>
            <w:rStyle w:val="Hyperlink"/>
          </w:rPr>
          <w:t>Data Glossary</w:t>
        </w:r>
      </w:hyperlink>
      <w:r w:rsidR="00A41609" w:rsidRPr="00A41609">
        <w:rPr>
          <w:rStyle w:val="Hyperlink"/>
          <w:u w:val="none"/>
        </w:rPr>
        <w:tab/>
      </w:r>
      <w:r w:rsidR="00A41609">
        <w:tab/>
      </w:r>
      <w:hyperlink r:id="rId10" w:history="1">
        <w:r w:rsidR="00A41609" w:rsidRPr="006A40DF">
          <w:rPr>
            <w:rStyle w:val="Hyperlink"/>
          </w:rPr>
          <w:t>NIH Data Management and Sharing</w:t>
        </w:r>
      </w:hyperlink>
      <w:r w:rsidR="00A41609">
        <w:rPr>
          <w:rStyle w:val="Hyperlink"/>
        </w:rPr>
        <w:t xml:space="preserve"> Policy</w:t>
      </w:r>
      <w:r w:rsidR="00A41609" w:rsidRPr="00A41609">
        <w:rPr>
          <w:rStyle w:val="Hyperlink"/>
          <w:u w:val="none"/>
        </w:rPr>
        <w:tab/>
      </w:r>
      <w:r w:rsidR="00A41609">
        <w:t xml:space="preserve"> </w:t>
      </w:r>
      <w:hyperlink r:id="rId11" w:history="1">
        <w:r w:rsidR="00A41609" w:rsidRPr="00A41609">
          <w:rPr>
            <w:rStyle w:val="Hyperlink"/>
          </w:rPr>
          <w:t>Genomics Data Sharing Policy</w:t>
        </w:r>
      </w:hyperlink>
    </w:p>
    <w:p w:rsidR="00343902" w:rsidRDefault="00106B93" w:rsidP="00343902">
      <w:hyperlink r:id="rId12" w:history="1">
        <w:r w:rsidR="00A41609" w:rsidRPr="00A41609">
          <w:rPr>
            <w:rStyle w:val="Hyperlink"/>
          </w:rPr>
          <w:t>List of ALL NIH Supported Data Repositories</w:t>
        </w:r>
      </w:hyperlink>
      <w:bookmarkEnd w:id="0"/>
    </w:p>
    <w:sectPr w:rsidR="00343902" w:rsidSect="00A3553B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93" w:rsidRDefault="00106B93" w:rsidP="00BC3D2B">
      <w:r>
        <w:separator/>
      </w:r>
    </w:p>
  </w:endnote>
  <w:endnote w:type="continuationSeparator" w:id="0">
    <w:p w:rsidR="00106B93" w:rsidRDefault="00106B93" w:rsidP="00B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EB" w:rsidRPr="004356D9" w:rsidRDefault="003C38F9" w:rsidP="00BC3D2B">
    <w:pPr>
      <w:pStyle w:val="Footer"/>
      <w:jc w:val="center"/>
      <w:rPr>
        <w:sz w:val="18"/>
      </w:rPr>
    </w:pPr>
    <w:bookmarkStart w:id="3" w:name="_Hlk107491073"/>
    <w:bookmarkStart w:id="4" w:name="_Hlk111200911"/>
    <w:r>
      <w:rPr>
        <w:sz w:val="18"/>
      </w:rPr>
      <w:t xml:space="preserve">Updated: </w:t>
    </w:r>
    <w:r w:rsidR="00BC3D2B">
      <w:rPr>
        <w:sz w:val="18"/>
      </w:rPr>
      <w:t>DATE</w:t>
    </w:r>
    <w:r>
      <w:rPr>
        <w:sz w:val="18"/>
      </w:rPr>
      <w:t xml:space="preserve">; Contact </w:t>
    </w:r>
    <w:hyperlink r:id="rId1" w:history="1">
      <w:r>
        <w:rPr>
          <w:rStyle w:val="Hyperlink"/>
          <w:sz w:val="18"/>
        </w:rPr>
        <w:t>katie.pierce-farrier@unthsc.edu</w:t>
      </w:r>
    </w:hyperlink>
    <w:r>
      <w:rPr>
        <w:sz w:val="18"/>
      </w:rPr>
      <w:t xml:space="preserve"> for more information about product guide. Content contributed and edited by </w:t>
    </w:r>
    <w:r>
      <w:rPr>
        <w:rFonts w:ascii="Calibri" w:hAnsi="Calibri" w:cs="Calibri"/>
        <w:sz w:val="18"/>
        <w:shd w:val="clear" w:color="auto" w:fill="FFFFFF"/>
      </w:rPr>
      <w:t>National Library of Medicine</w:t>
    </w:r>
    <w:r w:rsidR="00BC3D2B">
      <w:rPr>
        <w:rFonts w:ascii="Calibri" w:hAnsi="Calibri" w:cs="Calibri"/>
        <w:sz w:val="18"/>
        <w:shd w:val="clear" w:color="auto" w:fill="FFFFFF"/>
      </w:rPr>
      <w:t xml:space="preserve">, </w:t>
    </w:r>
    <w:r>
      <w:rPr>
        <w:rFonts w:ascii="Calibri" w:hAnsi="Calibri" w:cs="Calibri"/>
        <w:sz w:val="18"/>
        <w:shd w:val="clear" w:color="auto" w:fill="FFFFFF"/>
      </w:rPr>
      <w:t>and</w:t>
    </w:r>
    <w:r>
      <w:rPr>
        <w:sz w:val="18"/>
      </w:rPr>
      <w:t xml:space="preserve"> University of North Texas Health Science Center Lewis Library</w:t>
    </w:r>
    <w:bookmarkEnd w:id="3"/>
    <w:bookmarkEnd w:id="4"/>
  </w:p>
  <w:p w:rsidR="00AD40EB" w:rsidRDefault="00106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93" w:rsidRDefault="00106B93" w:rsidP="00BC3D2B">
      <w:r>
        <w:separator/>
      </w:r>
    </w:p>
  </w:footnote>
  <w:footnote w:type="continuationSeparator" w:id="0">
    <w:p w:rsidR="00106B93" w:rsidRDefault="00106B93" w:rsidP="00BC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392"/>
    <w:multiLevelType w:val="hybridMultilevel"/>
    <w:tmpl w:val="000C2A54"/>
    <w:lvl w:ilvl="0" w:tplc="4E3CBD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EDA"/>
    <w:multiLevelType w:val="hybridMultilevel"/>
    <w:tmpl w:val="7676EF3C"/>
    <w:lvl w:ilvl="0" w:tplc="69EE4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081"/>
    <w:multiLevelType w:val="hybridMultilevel"/>
    <w:tmpl w:val="EF2C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B98"/>
    <w:multiLevelType w:val="hybridMultilevel"/>
    <w:tmpl w:val="555E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83D"/>
    <w:multiLevelType w:val="hybridMultilevel"/>
    <w:tmpl w:val="6F30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4B3"/>
    <w:multiLevelType w:val="hybridMultilevel"/>
    <w:tmpl w:val="DF008A7E"/>
    <w:lvl w:ilvl="0" w:tplc="799CB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24A46"/>
    <w:multiLevelType w:val="hybridMultilevel"/>
    <w:tmpl w:val="B66E41C2"/>
    <w:lvl w:ilvl="0" w:tplc="9DF2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B23D4"/>
    <w:multiLevelType w:val="hybridMultilevel"/>
    <w:tmpl w:val="6F30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2757"/>
    <w:multiLevelType w:val="hybridMultilevel"/>
    <w:tmpl w:val="1E040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4C1F"/>
    <w:multiLevelType w:val="hybridMultilevel"/>
    <w:tmpl w:val="247C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77029"/>
    <w:multiLevelType w:val="hybridMultilevel"/>
    <w:tmpl w:val="187E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15A09"/>
    <w:multiLevelType w:val="hybridMultilevel"/>
    <w:tmpl w:val="CA78F578"/>
    <w:lvl w:ilvl="0" w:tplc="8D9AC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B004A"/>
    <w:multiLevelType w:val="hybridMultilevel"/>
    <w:tmpl w:val="01AA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D1"/>
    <w:rsid w:val="00044ABD"/>
    <w:rsid w:val="00106B93"/>
    <w:rsid w:val="00163932"/>
    <w:rsid w:val="001B3570"/>
    <w:rsid w:val="00206AE8"/>
    <w:rsid w:val="0026496A"/>
    <w:rsid w:val="00277C54"/>
    <w:rsid w:val="00282B55"/>
    <w:rsid w:val="0028762F"/>
    <w:rsid w:val="002F4799"/>
    <w:rsid w:val="003036A9"/>
    <w:rsid w:val="00343902"/>
    <w:rsid w:val="00372B5D"/>
    <w:rsid w:val="003C38F9"/>
    <w:rsid w:val="003F4EFC"/>
    <w:rsid w:val="00467E81"/>
    <w:rsid w:val="00596D9F"/>
    <w:rsid w:val="005A5C3A"/>
    <w:rsid w:val="005D5C27"/>
    <w:rsid w:val="00626E3F"/>
    <w:rsid w:val="006A40DF"/>
    <w:rsid w:val="006B2B5B"/>
    <w:rsid w:val="006D72B5"/>
    <w:rsid w:val="006D74D7"/>
    <w:rsid w:val="0071358D"/>
    <w:rsid w:val="007357D3"/>
    <w:rsid w:val="00743D7A"/>
    <w:rsid w:val="008A4B50"/>
    <w:rsid w:val="00924E25"/>
    <w:rsid w:val="009D09D1"/>
    <w:rsid w:val="00A27492"/>
    <w:rsid w:val="00A41609"/>
    <w:rsid w:val="00AB6F09"/>
    <w:rsid w:val="00B41CA0"/>
    <w:rsid w:val="00B8069A"/>
    <w:rsid w:val="00BC3D2B"/>
    <w:rsid w:val="00BF7481"/>
    <w:rsid w:val="00C46EC5"/>
    <w:rsid w:val="00CB6552"/>
    <w:rsid w:val="00CC1919"/>
    <w:rsid w:val="00CC4BC4"/>
    <w:rsid w:val="00D337CB"/>
    <w:rsid w:val="00D51F6F"/>
    <w:rsid w:val="00D5271B"/>
    <w:rsid w:val="00D7305B"/>
    <w:rsid w:val="00DB45DD"/>
    <w:rsid w:val="00E321AE"/>
    <w:rsid w:val="00E677A7"/>
    <w:rsid w:val="00F52B5E"/>
    <w:rsid w:val="00FA21BD"/>
    <w:rsid w:val="00FA425B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76E"/>
  <w15:chartTrackingRefBased/>
  <w15:docId w15:val="{31D0467F-89F8-4B89-8568-E7677660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F0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09D1"/>
    <w:pPr>
      <w:keepNext/>
      <w:keepLines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9D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9D1"/>
    <w:rPr>
      <w:rFonts w:eastAsiaTheme="majorEastAsia" w:cstheme="majorBidi"/>
      <w:b/>
      <w:color w:val="4472C4" w:themeColor="accen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09D1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39"/>
    <w:rsid w:val="009D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9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9D1"/>
  </w:style>
  <w:style w:type="paragraph" w:styleId="Footer">
    <w:name w:val="footer"/>
    <w:basedOn w:val="Normal"/>
    <w:link w:val="FooterChar"/>
    <w:uiPriority w:val="99"/>
    <w:unhideWhenUsed/>
    <w:rsid w:val="009D0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D1"/>
  </w:style>
  <w:style w:type="paragraph" w:styleId="NoSpacing">
    <w:name w:val="No Spacing"/>
    <w:uiPriority w:val="1"/>
    <w:qFormat/>
    <w:rsid w:val="009D09D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lm.gov/find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lm.nih.gov/NIHbmic/domain_specific_reposito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aring.nih.gov/genomic-data-sharing-poli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aring.nih.gov/data-management-and-sharing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lm.gov/guides/data-glossar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.pierce-farrier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Pierce-Farrier, Katie</dc:creator>
  <cp:keywords/>
  <dc:description/>
  <cp:lastModifiedBy>Pierce-Farrier, Katie</cp:lastModifiedBy>
  <cp:revision>10</cp:revision>
  <dcterms:created xsi:type="dcterms:W3CDTF">2024-02-22T21:32:00Z</dcterms:created>
  <dcterms:modified xsi:type="dcterms:W3CDTF">2024-04-22T19:28:00Z</dcterms:modified>
</cp:coreProperties>
</file>